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DE" w:rsidRPr="00F95C4F" w:rsidRDefault="004A19DE" w:rsidP="00F95C4F">
      <w:pPr>
        <w:spacing w:line="320" w:lineRule="exact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proofErr w:type="spellStart"/>
      <w:r w:rsidRPr="00F95C4F">
        <w:rPr>
          <w:rFonts w:asciiTheme="majorHAnsi" w:hAnsiTheme="majorHAnsi" w:cstheme="majorHAnsi"/>
          <w:sz w:val="28"/>
          <w:szCs w:val="28"/>
          <w:u w:val="single"/>
        </w:rPr>
        <w:t>Formulário</w:t>
      </w:r>
      <w:proofErr w:type="spellEnd"/>
      <w:r w:rsidRPr="00F95C4F">
        <w:rPr>
          <w:rFonts w:asciiTheme="majorHAnsi" w:hAnsiTheme="majorHAnsi" w:cstheme="majorHAnsi"/>
          <w:sz w:val="28"/>
          <w:szCs w:val="28"/>
          <w:u w:val="single"/>
        </w:rPr>
        <w:t xml:space="preserve"> para </w:t>
      </w:r>
      <w:proofErr w:type="spellStart"/>
      <w:r w:rsidRPr="00F95C4F">
        <w:rPr>
          <w:rFonts w:asciiTheme="majorHAnsi" w:hAnsiTheme="majorHAnsi" w:cstheme="majorHAnsi"/>
          <w:sz w:val="28"/>
          <w:szCs w:val="28"/>
          <w:u w:val="single"/>
        </w:rPr>
        <w:t>Pedido</w:t>
      </w:r>
      <w:proofErr w:type="spellEnd"/>
      <w:r w:rsidR="007F1558" w:rsidRPr="00F95C4F">
        <w:rPr>
          <w:rFonts w:asciiTheme="majorHAnsi" w:hAnsiTheme="majorHAnsi" w:cstheme="majorHAnsi"/>
          <w:sz w:val="28"/>
          <w:szCs w:val="28"/>
          <w:u w:val="single"/>
        </w:rPr>
        <w:t xml:space="preserve">/ </w:t>
      </w:r>
      <w:proofErr w:type="spellStart"/>
      <w:r w:rsidR="007F1558" w:rsidRPr="00F95C4F">
        <w:rPr>
          <w:rFonts w:asciiTheme="majorHAnsi" w:hAnsiTheme="majorHAnsi" w:cstheme="majorHAnsi"/>
          <w:sz w:val="28"/>
          <w:szCs w:val="28"/>
          <w:u w:val="single"/>
        </w:rPr>
        <w:t>Formulario</w:t>
      </w:r>
      <w:proofErr w:type="spellEnd"/>
      <w:r w:rsidR="007F1558" w:rsidRPr="00F95C4F">
        <w:rPr>
          <w:rFonts w:asciiTheme="majorHAnsi" w:hAnsiTheme="majorHAnsi" w:cstheme="majorHAnsi"/>
          <w:sz w:val="28"/>
          <w:szCs w:val="28"/>
          <w:u w:val="single"/>
        </w:rPr>
        <w:t xml:space="preserve"> de </w:t>
      </w:r>
      <w:proofErr w:type="spellStart"/>
      <w:r w:rsidR="007F1558" w:rsidRPr="00F95C4F">
        <w:rPr>
          <w:rFonts w:asciiTheme="majorHAnsi" w:hAnsiTheme="majorHAnsi" w:cstheme="majorHAnsi"/>
          <w:sz w:val="28"/>
          <w:szCs w:val="28"/>
          <w:u w:val="single"/>
        </w:rPr>
        <w:t>Pedido</w:t>
      </w:r>
      <w:proofErr w:type="spellEnd"/>
    </w:p>
    <w:p w:rsidR="004A19DE" w:rsidRPr="002A0E88" w:rsidRDefault="004A19DE" w:rsidP="00F95C4F">
      <w:pPr>
        <w:spacing w:line="320" w:lineRule="exact"/>
        <w:jc w:val="center"/>
        <w:rPr>
          <w:rFonts w:asciiTheme="majorHAnsi" w:hAnsiTheme="majorHAnsi" w:cstheme="majorHAnsi"/>
        </w:rPr>
      </w:pPr>
      <w:r w:rsidRPr="002A0E88">
        <w:rPr>
          <w:rFonts w:asciiTheme="majorHAnsi" w:hAnsiTheme="majorHAnsi" w:cstheme="majorHAnsi"/>
        </w:rPr>
        <w:t>(</w:t>
      </w:r>
      <w:r w:rsidRPr="002A0E88">
        <w:rPr>
          <w:rFonts w:asciiTheme="majorHAnsi" w:hAnsiTheme="majorHAnsi" w:cstheme="majorHAnsi"/>
        </w:rPr>
        <w:t xml:space="preserve"> </w:t>
      </w:r>
      <w:proofErr w:type="spellStart"/>
      <w:r w:rsidRPr="002A0E88">
        <w:rPr>
          <w:rFonts w:asciiTheme="majorHAnsi" w:hAnsiTheme="majorHAnsi" w:cstheme="majorHAnsi"/>
        </w:rPr>
        <w:t>Encomendas</w:t>
      </w:r>
      <w:proofErr w:type="spellEnd"/>
      <w:r w:rsidRPr="002A0E88">
        <w:rPr>
          <w:rFonts w:asciiTheme="majorHAnsi" w:hAnsiTheme="majorHAnsi" w:cstheme="majorHAnsi"/>
        </w:rPr>
        <w:t xml:space="preserve"> </w:t>
      </w:r>
      <w:proofErr w:type="spellStart"/>
      <w:r w:rsidRPr="002A0E88">
        <w:rPr>
          <w:rFonts w:asciiTheme="majorHAnsi" w:hAnsiTheme="majorHAnsi" w:cstheme="majorHAnsi"/>
        </w:rPr>
        <w:t>pelo</w:t>
      </w:r>
      <w:proofErr w:type="spellEnd"/>
      <w:r w:rsidRPr="002A0E88">
        <w:rPr>
          <w:rFonts w:asciiTheme="majorHAnsi" w:hAnsiTheme="majorHAnsi" w:cstheme="majorHAnsi"/>
        </w:rPr>
        <w:t xml:space="preserve"> Exterior</w:t>
      </w:r>
      <w:r w:rsidR="007F1558" w:rsidRPr="002A0E88">
        <w:rPr>
          <w:rFonts w:asciiTheme="majorHAnsi" w:hAnsiTheme="majorHAnsi" w:cstheme="majorHAnsi"/>
        </w:rPr>
        <w:t xml:space="preserve"> / </w:t>
      </w:r>
      <w:proofErr w:type="spellStart"/>
      <w:r w:rsidR="00B87DBB">
        <w:rPr>
          <w:rFonts w:asciiTheme="majorHAnsi" w:hAnsiTheme="majorHAnsi" w:cstheme="majorHAnsi"/>
        </w:rPr>
        <w:t>Desde</w:t>
      </w:r>
      <w:proofErr w:type="spellEnd"/>
      <w:r w:rsidR="00B87DBB">
        <w:rPr>
          <w:rFonts w:asciiTheme="majorHAnsi" w:hAnsiTheme="majorHAnsi" w:cstheme="majorHAnsi"/>
        </w:rPr>
        <w:t xml:space="preserve"> el E</w:t>
      </w:r>
      <w:bookmarkStart w:id="0" w:name="_GoBack"/>
      <w:bookmarkEnd w:id="0"/>
      <w:r w:rsidR="007F1558" w:rsidRPr="002A0E88">
        <w:rPr>
          <w:rFonts w:asciiTheme="majorHAnsi" w:hAnsiTheme="majorHAnsi" w:cstheme="majorHAnsi"/>
        </w:rPr>
        <w:t>xterior</w:t>
      </w:r>
      <w:r w:rsidRPr="002A0E88">
        <w:rPr>
          <w:rFonts w:asciiTheme="majorHAnsi" w:hAnsiTheme="majorHAnsi" w:cstheme="majorHAnsi"/>
        </w:rPr>
        <w:t>)</w:t>
      </w:r>
    </w:p>
    <w:p w:rsidR="004E6697" w:rsidRDefault="004E6697" w:rsidP="002A0E88">
      <w:pPr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:rsidR="007F1558" w:rsidRPr="002A0E88" w:rsidRDefault="007F1558" w:rsidP="004E669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A0E88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939E0" wp14:editId="606E3365">
                <wp:simplePos x="0" y="0"/>
                <wp:positionH relativeFrom="margin">
                  <wp:posOffset>3870960</wp:posOffset>
                </wp:positionH>
                <wp:positionV relativeFrom="paragraph">
                  <wp:posOffset>2540</wp:posOffset>
                </wp:positionV>
                <wp:extent cx="2360930" cy="723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D08" w:rsidRPr="002A0E88" w:rsidRDefault="007F1558" w:rsidP="00F55D08">
                            <w:pPr>
                              <w:spacing w:line="240" w:lineRule="exact"/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Kaigai</w:t>
                            </w:r>
                            <w:proofErr w:type="spellEnd"/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Nikkeijin</w:t>
                            </w:r>
                            <w:proofErr w:type="spellEnd"/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Kyokai</w:t>
                            </w:r>
                            <w:proofErr w:type="spellEnd"/>
                          </w:p>
                          <w:p w:rsidR="007F1558" w:rsidRPr="002A0E88" w:rsidRDefault="00F55D08" w:rsidP="00F55D08">
                            <w:pPr>
                              <w:spacing w:line="240" w:lineRule="exact"/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2-3-1</w:t>
                            </w:r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, Shinko, Naka-</w:t>
                            </w:r>
                            <w:proofErr w:type="spellStart"/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, Yokohama-</w:t>
                            </w:r>
                            <w:proofErr w:type="spellStart"/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shi</w:t>
                            </w:r>
                            <w:proofErr w:type="spellEnd"/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55D08" w:rsidRPr="002A0E88" w:rsidRDefault="007F1558" w:rsidP="00F55D08">
                            <w:pPr>
                              <w:spacing w:line="240" w:lineRule="exact"/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Kanagawa, 231-0001, JAPAN</w:t>
                            </w:r>
                          </w:p>
                          <w:p w:rsidR="00F55D08" w:rsidRPr="002A0E88" w:rsidRDefault="00F55D08" w:rsidP="00F55D08">
                            <w:pPr>
                              <w:spacing w:line="240" w:lineRule="exact"/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FAX</w:t>
                            </w:r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：</w:t>
                            </w:r>
                            <w:r w:rsidR="007F1558"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81-</w:t>
                            </w:r>
                            <w:r w:rsidRPr="002A0E88">
                              <w:rPr>
                                <w:rFonts w:asciiTheme="majorHAnsi" w:eastAsia="ＭＳ Ｐゴシック" w:hAnsiTheme="majorHAnsi" w:cstheme="majorHAnsi"/>
                                <w:sz w:val="18"/>
                                <w:szCs w:val="18"/>
                              </w:rPr>
                              <w:t>45-211-1781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3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8pt;margin-top:.2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">
                <v:stroke dashstyle="dash"/>
                <v:textbox>
                  <w:txbxContent>
                    <w:p w:rsidR="00F55D08" w:rsidRPr="002A0E88" w:rsidRDefault="007F1558" w:rsidP="00F55D08">
                      <w:pPr>
                        <w:spacing w:line="240" w:lineRule="exact"/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Kaigai</w:t>
                      </w:r>
                      <w:proofErr w:type="spellEnd"/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Nikkeijin</w:t>
                      </w:r>
                      <w:proofErr w:type="spellEnd"/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Kyokai</w:t>
                      </w:r>
                      <w:proofErr w:type="spellEnd"/>
                    </w:p>
                    <w:p w:rsidR="007F1558" w:rsidRPr="002A0E88" w:rsidRDefault="00F55D08" w:rsidP="00F55D08">
                      <w:pPr>
                        <w:spacing w:line="240" w:lineRule="exact"/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</w:pPr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2-3-1</w:t>
                      </w:r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, Shinko, Naka-</w:t>
                      </w:r>
                      <w:proofErr w:type="spellStart"/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, Yokohama-</w:t>
                      </w:r>
                      <w:proofErr w:type="spellStart"/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shi</w:t>
                      </w:r>
                      <w:proofErr w:type="spellEnd"/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,</w:t>
                      </w:r>
                    </w:p>
                    <w:p w:rsidR="00F55D08" w:rsidRPr="002A0E88" w:rsidRDefault="007F1558" w:rsidP="00F55D08">
                      <w:pPr>
                        <w:spacing w:line="240" w:lineRule="exact"/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</w:pPr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Kanagawa, 231-0001, JAPAN</w:t>
                      </w:r>
                    </w:p>
                    <w:p w:rsidR="00F55D08" w:rsidRPr="002A0E88" w:rsidRDefault="00F55D08" w:rsidP="00F55D08">
                      <w:pPr>
                        <w:spacing w:line="240" w:lineRule="exact"/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</w:pPr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FAX</w:t>
                      </w:r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：</w:t>
                      </w:r>
                      <w:r w:rsidR="007F1558"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81-</w:t>
                      </w:r>
                      <w:r w:rsidRPr="002A0E88">
                        <w:rPr>
                          <w:rFonts w:asciiTheme="majorHAnsi" w:eastAsia="ＭＳ Ｐゴシック" w:hAnsiTheme="majorHAnsi" w:cstheme="majorHAnsi"/>
                          <w:sz w:val="18"/>
                          <w:szCs w:val="18"/>
                        </w:rPr>
                        <w:t>45-211-1781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Preencher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os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dados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abaixo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e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enviar</w:t>
      </w:r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,</w:t>
      </w:r>
    </w:p>
    <w:p w:rsidR="002A0E88" w:rsidRDefault="007F1558" w:rsidP="004E6697">
      <w:pPr>
        <w:spacing w:line="240" w:lineRule="exact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Enviaremos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notificação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da forma de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pagamento</w:t>
      </w:r>
      <w:proofErr w:type="spellEnd"/>
      <w:r w:rsid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</w:p>
    <w:p w:rsidR="007F1558" w:rsidRPr="002A0E88" w:rsidRDefault="007F1558" w:rsidP="004E6697">
      <w:pPr>
        <w:spacing w:line="240" w:lineRule="exact"/>
        <w:rPr>
          <w:rFonts w:asciiTheme="majorHAnsi" w:hAnsiTheme="majorHAnsi" w:cstheme="majorHAnsi"/>
          <w:color w:val="000000"/>
          <w:sz w:val="18"/>
          <w:szCs w:val="18"/>
        </w:rPr>
      </w:pPr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/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Llenar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enviar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</w:p>
    <w:p w:rsidR="00A171C2" w:rsidRDefault="007F1558" w:rsidP="004E6697">
      <w:pPr>
        <w:spacing w:line="240" w:lineRule="exact"/>
        <w:rPr>
          <w:rFonts w:asciiTheme="majorHAnsi" w:eastAsia="ＭＳ Ｐゴシック" w:hAnsiTheme="majorHAnsi" w:cstheme="majorHAnsi"/>
          <w:sz w:val="18"/>
          <w:szCs w:val="18"/>
        </w:rPr>
      </w:pPr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Se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envia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notificación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de forma de </w:t>
      </w:r>
      <w:proofErr w:type="spellStart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pago</w:t>
      </w:r>
      <w:proofErr w:type="spellEnd"/>
      <w:r w:rsidRPr="002A0E88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</w:p>
    <w:p w:rsidR="002A0E88" w:rsidRPr="002A0E88" w:rsidRDefault="002A0E88" w:rsidP="002A0E88">
      <w:pPr>
        <w:spacing w:line="240" w:lineRule="exact"/>
        <w:rPr>
          <w:rFonts w:asciiTheme="majorHAnsi" w:eastAsia="ＭＳ Ｐゴシック" w:hAnsiTheme="majorHAnsi" w:cstheme="majorHAnsi" w:hint="eastAsia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976"/>
      </w:tblGrid>
      <w:tr w:rsidR="007A2753" w:rsidRPr="002A0E88" w:rsidTr="002A0E88">
        <w:trPr>
          <w:trHeight w:val="330"/>
        </w:trPr>
        <w:tc>
          <w:tcPr>
            <w:tcW w:w="2552" w:type="dxa"/>
          </w:tcPr>
          <w:p w:rsidR="007A2753" w:rsidRPr="002A0E88" w:rsidRDefault="007F1558" w:rsidP="00C96C5C">
            <w:pPr>
              <w:spacing w:line="280" w:lineRule="exact"/>
              <w:ind w:left="86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Nome / </w:t>
            </w:r>
            <w:proofErr w:type="spellStart"/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7654" w:type="dxa"/>
            <w:gridSpan w:val="3"/>
          </w:tcPr>
          <w:p w:rsidR="007A2753" w:rsidRPr="002A0E88" w:rsidRDefault="007A2753" w:rsidP="00C96C5C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7A2753" w:rsidRPr="002A0E88" w:rsidTr="002A0E88">
        <w:trPr>
          <w:trHeight w:val="705"/>
        </w:trPr>
        <w:tc>
          <w:tcPr>
            <w:tcW w:w="2552" w:type="dxa"/>
          </w:tcPr>
          <w:p w:rsidR="007A2753" w:rsidRPr="002A0E88" w:rsidRDefault="007F1558" w:rsidP="00C96C5C">
            <w:pPr>
              <w:spacing w:line="280" w:lineRule="exact"/>
              <w:ind w:left="86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Endereço</w:t>
            </w:r>
            <w:proofErr w:type="spellEnd"/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/ </w:t>
            </w:r>
            <w:proofErr w:type="spellStart"/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7654" w:type="dxa"/>
            <w:gridSpan w:val="3"/>
          </w:tcPr>
          <w:p w:rsidR="007A2753" w:rsidRPr="002A0E88" w:rsidRDefault="007A2753" w:rsidP="00C96C5C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7A2753" w:rsidRPr="002A0E88" w:rsidTr="002A0E88">
        <w:trPr>
          <w:trHeight w:val="330"/>
        </w:trPr>
        <w:tc>
          <w:tcPr>
            <w:tcW w:w="2552" w:type="dxa"/>
          </w:tcPr>
          <w:p w:rsidR="007A2753" w:rsidRPr="002A0E88" w:rsidRDefault="007F1558" w:rsidP="00C96C5C">
            <w:pPr>
              <w:spacing w:line="280" w:lineRule="exact"/>
              <w:ind w:left="86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410" w:type="dxa"/>
          </w:tcPr>
          <w:p w:rsidR="007A2753" w:rsidRPr="002A0E88" w:rsidRDefault="007A2753" w:rsidP="00C96C5C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753" w:rsidRPr="002A0E88" w:rsidRDefault="007A2753" w:rsidP="007F1558">
            <w:pPr>
              <w:spacing w:line="280" w:lineRule="exact"/>
              <w:ind w:left="2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FAX</w:t>
            </w: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se </w:t>
            </w:r>
            <w:proofErr w:type="spellStart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houver</w:t>
            </w:r>
            <w:proofErr w:type="spellEnd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/ </w:t>
            </w:r>
            <w:proofErr w:type="spellStart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si</w:t>
            </w:r>
            <w:proofErr w:type="spellEnd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hay</w:t>
            </w: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2976" w:type="dxa"/>
          </w:tcPr>
          <w:p w:rsidR="007A2753" w:rsidRPr="002A0E88" w:rsidRDefault="007A2753" w:rsidP="00C96C5C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7A2753" w:rsidRPr="002A0E88" w:rsidTr="002A0E88">
        <w:trPr>
          <w:trHeight w:val="330"/>
        </w:trPr>
        <w:tc>
          <w:tcPr>
            <w:tcW w:w="2552" w:type="dxa"/>
          </w:tcPr>
          <w:p w:rsidR="007A2753" w:rsidRPr="002A0E88" w:rsidRDefault="007A2753" w:rsidP="007F1558">
            <w:pPr>
              <w:spacing w:line="280" w:lineRule="exact"/>
              <w:ind w:left="86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E-MAIL</w:t>
            </w: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se </w:t>
            </w:r>
            <w:proofErr w:type="spellStart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houver</w:t>
            </w:r>
            <w:proofErr w:type="spellEnd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/ </w:t>
            </w:r>
            <w:proofErr w:type="spellStart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si</w:t>
            </w:r>
            <w:proofErr w:type="spellEnd"/>
            <w:r w:rsidR="007F1558"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hay</w:t>
            </w:r>
            <w:r w:rsidRPr="002A0E88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</w:tcPr>
          <w:p w:rsidR="007A2753" w:rsidRPr="002A0E88" w:rsidRDefault="007A2753" w:rsidP="00C96C5C">
            <w:pPr>
              <w:spacing w:line="28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</w:tbl>
    <w:p w:rsidR="005F0BD2" w:rsidRPr="002A0E88" w:rsidRDefault="005F0BD2" w:rsidP="002A0E88">
      <w:pPr>
        <w:spacing w:line="160" w:lineRule="exact"/>
        <w:ind w:left="113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</w:p>
    <w:p w:rsidR="000123B5" w:rsidRPr="002A0E88" w:rsidRDefault="007F1558" w:rsidP="005F0BD2">
      <w:pPr>
        <w:spacing w:line="320" w:lineRule="exact"/>
        <w:ind w:left="113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2A0E88">
        <w:rPr>
          <w:rFonts w:asciiTheme="majorHAnsi" w:eastAsia="ＭＳ Ｐゴシック" w:hAnsiTheme="majorHAnsi" w:cstheme="majorHAnsi"/>
          <w:sz w:val="28"/>
          <w:szCs w:val="28"/>
        </w:rPr>
        <w:t>PEDIDO / PEDIDO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985"/>
        <w:gridCol w:w="1842"/>
      </w:tblGrid>
      <w:tr w:rsidR="00204DC3" w:rsidRPr="002A0E88" w:rsidTr="00B80B3D">
        <w:trPr>
          <w:trHeight w:val="284"/>
        </w:trPr>
        <w:tc>
          <w:tcPr>
            <w:tcW w:w="426" w:type="dxa"/>
            <w:tcBorders>
              <w:bottom w:val="double" w:sz="4" w:space="0" w:color="auto"/>
            </w:tcBorders>
          </w:tcPr>
          <w:p w:rsidR="00204DC3" w:rsidRPr="002A0E88" w:rsidRDefault="00204DC3" w:rsidP="004E6697">
            <w:pPr>
              <w:spacing w:line="28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5953" w:type="dxa"/>
            <w:tcBorders>
              <w:bottom w:val="double" w:sz="4" w:space="0" w:color="auto"/>
            </w:tcBorders>
          </w:tcPr>
          <w:p w:rsidR="00204DC3" w:rsidRPr="002A0E88" w:rsidRDefault="00204DC3" w:rsidP="00204DC3">
            <w:pPr>
              <w:spacing w:line="280" w:lineRule="exact"/>
              <w:ind w:left="-99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Título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/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04DC3" w:rsidRPr="002A0E88" w:rsidRDefault="00204DC3" w:rsidP="002A0E88">
            <w:pPr>
              <w:spacing w:line="200" w:lineRule="exact"/>
              <w:ind w:left="-96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Preço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p/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unidade</w:t>
            </w:r>
            <w:proofErr w:type="spellEnd"/>
          </w:p>
          <w:p w:rsidR="002855C6" w:rsidRPr="002A0E88" w:rsidRDefault="002855C6" w:rsidP="002A0E88">
            <w:pPr>
              <w:spacing w:line="200" w:lineRule="exact"/>
              <w:ind w:left="-96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frete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a parte)</w:t>
            </w:r>
          </w:p>
          <w:p w:rsidR="00204DC3" w:rsidRPr="002A0E88" w:rsidRDefault="00204DC3" w:rsidP="002A0E88">
            <w:pPr>
              <w:spacing w:line="200" w:lineRule="exact"/>
              <w:ind w:left="-96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Precio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por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</w:p>
          <w:p w:rsidR="002855C6" w:rsidRPr="002A0E88" w:rsidRDefault="002855C6" w:rsidP="002A0E88">
            <w:pPr>
              <w:spacing w:line="200" w:lineRule="exact"/>
              <w:ind w:left="-96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costo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envío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aparte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04DC3" w:rsidRPr="002A0E88" w:rsidRDefault="00204DC3" w:rsidP="00204DC3">
            <w:pPr>
              <w:spacing w:line="28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Quantidad</w:t>
            </w:r>
            <w:proofErr w:type="spellEnd"/>
          </w:p>
          <w:p w:rsidR="00204DC3" w:rsidRPr="002A0E88" w:rsidRDefault="00204DC3" w:rsidP="00204DC3">
            <w:pPr>
              <w:spacing w:line="28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Cantidad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DOREMI”Ouvir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CD (1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c/2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cds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）</w:t>
            </w:r>
          </w:p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audio 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2 CDs)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US$ 10.00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</w:p>
          <w:p w:rsidR="00204DC3" w:rsidRPr="002A0E88" w:rsidRDefault="00A4496A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/s</w:t>
            </w:r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(script)</w:t>
            </w:r>
          </w:p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Audio-Script</w:t>
            </w:r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US$ 3.00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apostilha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)</w:t>
            </w:r>
          </w:p>
          <w:p w:rsidR="00204DC3" w:rsidRPr="002A0E88" w:rsidRDefault="00204DC3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Hojas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para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tareas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US$ 3.00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204DC3" w:rsidRPr="002A0E88" w:rsidRDefault="003E0BFF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DOREMI”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Prática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Gramática</w:t>
            </w:r>
            <w:proofErr w:type="spellEnd"/>
          </w:p>
          <w:p w:rsidR="003E0BFF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NIHONGO DOREMI”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Cuaderno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Ejercicios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modelos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oracionales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US$ 5.00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JUMP”</w:t>
            </w:r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US$ 6.00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JUMP”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CD (1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c/2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cds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）</w:t>
            </w:r>
          </w:p>
          <w:p w:rsidR="00FA7B15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“NIHONHO JUMP”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deAudio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2 CDs)</w:t>
            </w:r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US$ 10.00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</w:p>
          <w:p w:rsidR="00204DC3" w:rsidRPr="002A0E88" w:rsidRDefault="00A4496A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/s</w:t>
            </w:r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JUMP”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(script)</w:t>
            </w:r>
          </w:p>
          <w:p w:rsidR="00FA7B15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IHONHO JUMP”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Audio-Script</w:t>
            </w:r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JUMP”Ouvir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apostilha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)</w:t>
            </w:r>
          </w:p>
          <w:p w:rsidR="00FA7B15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HONHO JUMP”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Hojas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para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tareas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07A02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JUMP”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Prática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gramática</w:t>
            </w:r>
            <w:proofErr w:type="spellEnd"/>
          </w:p>
          <w:p w:rsidR="00FA7B15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NIHONHO JUMP”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Cuaderno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Ejercicios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modelos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oracionales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US$ 5</w:t>
            </w:r>
            <w:r w:rsidR="00A07A02"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CHALLENGE”</w:t>
            </w:r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US$ 7.00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204DC3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CHALLENGE”Manual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do Professor</w:t>
            </w:r>
          </w:p>
          <w:p w:rsidR="00FA7B15" w:rsidRPr="002A0E88" w:rsidRDefault="00FA7B15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CHALLENGE”Manual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5953" w:type="dxa"/>
            <w:vAlign w:val="center"/>
          </w:tcPr>
          <w:p w:rsidR="00204DC3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CHALLENGE”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CD (1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c/2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cds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）</w:t>
            </w:r>
          </w:p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CHALLENGE”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deAudio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2 CDs)</w:t>
            </w:r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US$ 10.00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conjunto</w:t>
            </w:r>
            <w:proofErr w:type="spellEnd"/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juego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/s</w:t>
            </w:r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5953" w:type="dxa"/>
            <w:vAlign w:val="center"/>
          </w:tcPr>
          <w:p w:rsidR="00204DC3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CHALLENGE”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Ouvir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Aprender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(script)</w:t>
            </w:r>
          </w:p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NIHONGO CHALLENGE”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Audio-Script</w:t>
            </w:r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5953" w:type="dxa"/>
            <w:vAlign w:val="center"/>
          </w:tcPr>
          <w:p w:rsidR="00204DC3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CHALLENGE”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Aprendendo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em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Sala de Aula</w:t>
            </w:r>
          </w:p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NIHONGO CHALLENGE” Material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Didáctico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Actividades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en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Aulas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US$ 6.00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5953" w:type="dxa"/>
            <w:vAlign w:val="center"/>
          </w:tcPr>
          <w:p w:rsidR="00204DC3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EXPLICAÇÃO DA GRAMÁTICA JAPONESA</w:t>
            </w:r>
          </w:p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Libro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Explicación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Gramática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Idioma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Japonés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US$ 8.00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5953" w:type="dxa"/>
            <w:vAlign w:val="center"/>
          </w:tcPr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PUBLICAÇÃO DE PESQUISA Vol. 5</w:t>
            </w:r>
          </w:p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Publicación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Investigaciones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Vol. 5</w:t>
            </w:r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US$ 3.00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5953" w:type="dxa"/>
            <w:vAlign w:val="center"/>
          </w:tcPr>
          <w:p w:rsidR="00A07A02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PUBLICAÇÃO DE PESQUISA Vol. 6</w:t>
            </w:r>
          </w:p>
          <w:p w:rsidR="00204DC3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Publ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icación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de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Investigaciones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Vol. 6</w:t>
            </w:r>
          </w:p>
        </w:tc>
        <w:tc>
          <w:tcPr>
            <w:tcW w:w="1985" w:type="dxa"/>
            <w:vAlign w:val="center"/>
          </w:tcPr>
          <w:p w:rsidR="00204DC3" w:rsidRPr="002A0E88" w:rsidRDefault="00A4496A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US$ 3.00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5953" w:type="dxa"/>
            <w:vAlign w:val="center"/>
          </w:tcPr>
          <w:p w:rsidR="002855C6" w:rsidRPr="002A0E88" w:rsidRDefault="00A07A02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1”</w:t>
            </w:r>
          </w:p>
        </w:tc>
        <w:tc>
          <w:tcPr>
            <w:tcW w:w="1985" w:type="dxa"/>
            <w:vAlign w:val="center"/>
          </w:tcPr>
          <w:p w:rsidR="00204DC3" w:rsidRPr="002A0E88" w:rsidRDefault="002855C6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US$ 15.00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04DC3" w:rsidRPr="002A0E88" w:rsidTr="00B80B3D">
        <w:trPr>
          <w:trHeight w:val="284"/>
        </w:trPr>
        <w:tc>
          <w:tcPr>
            <w:tcW w:w="426" w:type="dxa"/>
            <w:vAlign w:val="center"/>
          </w:tcPr>
          <w:p w:rsidR="00204DC3" w:rsidRPr="002A0E88" w:rsidRDefault="00204DC3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5953" w:type="dxa"/>
            <w:vAlign w:val="center"/>
          </w:tcPr>
          <w:p w:rsidR="00204DC3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1” Manual do Professor</w:t>
            </w:r>
          </w:p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MIRAI 1” Manual para el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1985" w:type="dxa"/>
            <w:vAlign w:val="center"/>
          </w:tcPr>
          <w:p w:rsidR="00204DC3" w:rsidRPr="002A0E88" w:rsidRDefault="002855C6" w:rsidP="00F95C4F">
            <w:pPr>
              <w:spacing w:line="200" w:lineRule="exact"/>
              <w:ind w:left="42"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US$ 4,00</w:t>
            </w:r>
          </w:p>
        </w:tc>
        <w:tc>
          <w:tcPr>
            <w:tcW w:w="1842" w:type="dxa"/>
          </w:tcPr>
          <w:p w:rsidR="007931F6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04DC3" w:rsidRPr="002A0E88" w:rsidRDefault="007931F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855C6" w:rsidRPr="002A0E88" w:rsidTr="00B80B3D">
        <w:trPr>
          <w:trHeight w:val="284"/>
        </w:trPr>
        <w:tc>
          <w:tcPr>
            <w:tcW w:w="426" w:type="dxa"/>
            <w:vAlign w:val="center"/>
          </w:tcPr>
          <w:p w:rsidR="002855C6" w:rsidRPr="002A0E88" w:rsidRDefault="002855C6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5953" w:type="dxa"/>
            <w:vAlign w:val="center"/>
          </w:tcPr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2”</w:t>
            </w:r>
          </w:p>
        </w:tc>
        <w:tc>
          <w:tcPr>
            <w:tcW w:w="1985" w:type="dxa"/>
            <w:vAlign w:val="center"/>
          </w:tcPr>
          <w:p w:rsidR="002855C6" w:rsidRPr="002A0E88" w:rsidRDefault="002855C6" w:rsidP="00F95C4F">
            <w:pPr>
              <w:spacing w:line="200" w:lineRule="exact"/>
              <w:ind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US$ 15.00</w:t>
            </w:r>
          </w:p>
        </w:tc>
        <w:tc>
          <w:tcPr>
            <w:tcW w:w="1842" w:type="dxa"/>
          </w:tcPr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855C6" w:rsidRPr="002A0E88" w:rsidTr="00B80B3D">
        <w:trPr>
          <w:trHeight w:val="284"/>
        </w:trPr>
        <w:tc>
          <w:tcPr>
            <w:tcW w:w="426" w:type="dxa"/>
            <w:vAlign w:val="center"/>
          </w:tcPr>
          <w:p w:rsidR="002855C6" w:rsidRPr="002A0E88" w:rsidRDefault="002855C6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5953" w:type="dxa"/>
            <w:vAlign w:val="center"/>
          </w:tcPr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2” Manual do Professor</w:t>
            </w:r>
          </w:p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“NIHONGO MIRAI 2” Manual para el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1985" w:type="dxa"/>
            <w:vAlign w:val="center"/>
          </w:tcPr>
          <w:p w:rsidR="002855C6" w:rsidRPr="002A0E88" w:rsidRDefault="002855C6" w:rsidP="00F95C4F">
            <w:pPr>
              <w:spacing w:line="200" w:lineRule="exact"/>
              <w:ind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US$ 4,00</w:t>
            </w:r>
          </w:p>
        </w:tc>
        <w:tc>
          <w:tcPr>
            <w:tcW w:w="1842" w:type="dxa"/>
          </w:tcPr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855C6" w:rsidRPr="002A0E88" w:rsidTr="00B80B3D">
        <w:trPr>
          <w:trHeight w:val="284"/>
        </w:trPr>
        <w:tc>
          <w:tcPr>
            <w:tcW w:w="426" w:type="dxa"/>
            <w:vAlign w:val="center"/>
          </w:tcPr>
          <w:p w:rsidR="002855C6" w:rsidRPr="002A0E88" w:rsidRDefault="002855C6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5953" w:type="dxa"/>
            <w:vAlign w:val="center"/>
          </w:tcPr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3”</w:t>
            </w:r>
          </w:p>
        </w:tc>
        <w:tc>
          <w:tcPr>
            <w:tcW w:w="1985" w:type="dxa"/>
            <w:vAlign w:val="center"/>
          </w:tcPr>
          <w:p w:rsidR="002855C6" w:rsidRPr="002A0E88" w:rsidRDefault="002855C6" w:rsidP="00F95C4F">
            <w:pPr>
              <w:spacing w:line="200" w:lineRule="exact"/>
              <w:ind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US$ 15.00</w:t>
            </w:r>
          </w:p>
        </w:tc>
        <w:tc>
          <w:tcPr>
            <w:tcW w:w="1842" w:type="dxa"/>
          </w:tcPr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  <w:tr w:rsidR="002855C6" w:rsidRPr="002A0E88" w:rsidTr="00B80B3D">
        <w:trPr>
          <w:trHeight w:val="284"/>
        </w:trPr>
        <w:tc>
          <w:tcPr>
            <w:tcW w:w="426" w:type="dxa"/>
            <w:vAlign w:val="center"/>
          </w:tcPr>
          <w:p w:rsidR="002855C6" w:rsidRPr="002A0E88" w:rsidRDefault="002855C6" w:rsidP="002A0E88">
            <w:pPr>
              <w:spacing w:line="200" w:lineRule="exact"/>
              <w:jc w:val="center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5953" w:type="dxa"/>
            <w:vAlign w:val="center"/>
          </w:tcPr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“NIHONGO MIRAI 3”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 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Manual do Professor</w:t>
            </w:r>
          </w:p>
          <w:p w:rsidR="002855C6" w:rsidRPr="002A0E88" w:rsidRDefault="002855C6" w:rsidP="00F95C4F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“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NIHONGO MIRAI 3</w:t>
            </w: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 xml:space="preserve">” Manual para el 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1985" w:type="dxa"/>
            <w:vAlign w:val="center"/>
          </w:tcPr>
          <w:p w:rsidR="002855C6" w:rsidRPr="002A0E88" w:rsidRDefault="002855C6" w:rsidP="00F95C4F">
            <w:pPr>
              <w:spacing w:line="200" w:lineRule="exact"/>
              <w:ind w:rightChars="155" w:right="325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US$ 4,00</w:t>
            </w:r>
          </w:p>
        </w:tc>
        <w:tc>
          <w:tcPr>
            <w:tcW w:w="1842" w:type="dxa"/>
          </w:tcPr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volume</w:t>
            </w:r>
          </w:p>
          <w:p w:rsidR="002855C6" w:rsidRPr="002A0E88" w:rsidRDefault="002855C6" w:rsidP="002A0E88">
            <w:pPr>
              <w:spacing w:line="200" w:lineRule="exact"/>
              <w:jc w:val="right"/>
              <w:rPr>
                <w:rFonts w:asciiTheme="majorHAnsi" w:eastAsia="Gulim" w:hAnsiTheme="majorHAnsi" w:cstheme="majorHAnsi"/>
                <w:sz w:val="18"/>
                <w:szCs w:val="18"/>
              </w:rPr>
            </w:pP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unidad</w:t>
            </w:r>
            <w:proofErr w:type="spellEnd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/</w:t>
            </w:r>
            <w:proofErr w:type="spellStart"/>
            <w:r w:rsidRPr="002A0E88">
              <w:rPr>
                <w:rFonts w:asciiTheme="majorHAnsi" w:eastAsia="Gulim" w:hAnsiTheme="majorHAnsi" w:cstheme="majorHAnsi"/>
                <w:sz w:val="18"/>
                <w:szCs w:val="18"/>
              </w:rPr>
              <w:t>es</w:t>
            </w:r>
            <w:proofErr w:type="spellEnd"/>
          </w:p>
        </w:tc>
      </w:tr>
    </w:tbl>
    <w:p w:rsidR="002855C6" w:rsidRPr="002A0E88" w:rsidRDefault="002855C6" w:rsidP="002A0E88">
      <w:pPr>
        <w:spacing w:line="200" w:lineRule="exact"/>
        <w:rPr>
          <w:rFonts w:asciiTheme="majorHAnsi" w:eastAsia="Gulim" w:hAnsiTheme="majorHAnsi" w:cstheme="majorHAnsi"/>
          <w:sz w:val="18"/>
          <w:szCs w:val="18"/>
        </w:rPr>
      </w:pP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Escrever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se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houver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algum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comentário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. /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Escribir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abajo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si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desea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hacer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algún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 xml:space="preserve"> </w:t>
      </w:r>
      <w:proofErr w:type="spellStart"/>
      <w:r w:rsidRPr="002A0E88">
        <w:rPr>
          <w:rFonts w:asciiTheme="majorHAnsi" w:eastAsia="Gulim" w:hAnsiTheme="majorHAnsi" w:cstheme="majorHAnsi"/>
          <w:sz w:val="18"/>
          <w:szCs w:val="18"/>
        </w:rPr>
        <w:t>comentario</w:t>
      </w:r>
      <w:proofErr w:type="spellEnd"/>
      <w:r w:rsidRPr="002A0E88">
        <w:rPr>
          <w:rFonts w:asciiTheme="majorHAnsi" w:eastAsia="Gulim" w:hAnsiTheme="majorHAnsi" w:cstheme="majorHAnsi"/>
          <w:sz w:val="18"/>
          <w:szCs w:val="18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0BD2" w:rsidRPr="002A0E88" w:rsidTr="004E6697">
        <w:trPr>
          <w:trHeight w:val="635"/>
        </w:trPr>
        <w:tc>
          <w:tcPr>
            <w:tcW w:w="10201" w:type="dxa"/>
          </w:tcPr>
          <w:p w:rsidR="005F0BD2" w:rsidRPr="002A0E88" w:rsidRDefault="005F0BD2" w:rsidP="002A0E88">
            <w:pPr>
              <w:spacing w:line="200" w:lineRule="exact"/>
              <w:rPr>
                <w:rFonts w:asciiTheme="majorHAnsi" w:eastAsia="Gulim" w:hAnsiTheme="majorHAnsi" w:cstheme="majorHAnsi"/>
                <w:sz w:val="18"/>
                <w:szCs w:val="18"/>
              </w:rPr>
            </w:pPr>
          </w:p>
        </w:tc>
      </w:tr>
    </w:tbl>
    <w:p w:rsidR="007A2753" w:rsidRPr="003C35D9" w:rsidRDefault="007A2753" w:rsidP="005F0BD2">
      <w:pPr>
        <w:rPr>
          <w:rFonts w:ascii="ＭＳ Ｐゴシック" w:eastAsia="ＭＳ Ｐゴシック" w:hAnsi="ＭＳ Ｐゴシック"/>
        </w:rPr>
      </w:pPr>
    </w:p>
    <w:sectPr w:rsidR="007A2753" w:rsidRPr="003C35D9" w:rsidSect="002A0E88">
      <w:pgSz w:w="11907" w:h="16839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53"/>
    <w:rsid w:val="000123B5"/>
    <w:rsid w:val="00204DC3"/>
    <w:rsid w:val="002855C6"/>
    <w:rsid w:val="002A0E88"/>
    <w:rsid w:val="003727E0"/>
    <w:rsid w:val="003C35D9"/>
    <w:rsid w:val="003E0BFF"/>
    <w:rsid w:val="004174DF"/>
    <w:rsid w:val="004A19DE"/>
    <w:rsid w:val="004E6697"/>
    <w:rsid w:val="005F0BD2"/>
    <w:rsid w:val="006F1CFE"/>
    <w:rsid w:val="007931F6"/>
    <w:rsid w:val="007A2753"/>
    <w:rsid w:val="007F1558"/>
    <w:rsid w:val="00A07A02"/>
    <w:rsid w:val="00A171C2"/>
    <w:rsid w:val="00A4496A"/>
    <w:rsid w:val="00B80B3D"/>
    <w:rsid w:val="00B87DBB"/>
    <w:rsid w:val="00C96C5C"/>
    <w:rsid w:val="00F55D08"/>
    <w:rsid w:val="00F95C4F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8E70D-BAAF-45CB-892F-43EE6E8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5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A1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A19D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C42E-0C04-4016-B92B-C5E6B2C3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海外日系人協会総務部２</dc:creator>
  <cp:keywords/>
  <dc:description/>
  <cp:lastModifiedBy>海外日系人協会総務部２</cp:lastModifiedBy>
  <cp:revision>8</cp:revision>
  <cp:lastPrinted>2014-05-16T09:16:00Z</cp:lastPrinted>
  <dcterms:created xsi:type="dcterms:W3CDTF">2014-05-16T06:32:00Z</dcterms:created>
  <dcterms:modified xsi:type="dcterms:W3CDTF">2014-05-16T09:18:00Z</dcterms:modified>
</cp:coreProperties>
</file>